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 xml:space="preserve">запланированные работы по применению пестицидов и агрохимикатов будут проходить </w:t>
      </w:r>
      <w:r>
        <w:rPr>
          <w:rFonts w:eastAsia="Times New Roman" w:cs="Times New Roman"/>
          <w:color w:val="auto"/>
          <w:kern w:val="0"/>
          <w:sz w:val="28"/>
          <w:szCs w:val="28"/>
          <w:lang w:val="ru-RU" w:eastAsia="ru-RU" w:bidi="ar-SA"/>
        </w:rPr>
        <w:t>01</w:t>
      </w:r>
      <w:r>
        <w:rPr>
          <w:rFonts w:eastAsia="Times New Roman" w:cs="Times New Roman"/>
          <w:color w:val="auto"/>
          <w:kern w:val="0"/>
          <w:sz w:val="28"/>
          <w:szCs w:val="28"/>
          <w:lang w:val="ru-RU" w:eastAsia="ru-RU" w:bidi="ar-SA"/>
        </w:rPr>
        <w:t>.0</w:t>
      </w:r>
      <w:r>
        <w:rPr>
          <w:rFonts w:eastAsia="Times New Roman" w:cs="Times New Roman"/>
          <w:color w:val="auto"/>
          <w:kern w:val="0"/>
          <w:sz w:val="28"/>
          <w:szCs w:val="28"/>
          <w:lang w:val="ru-RU" w:eastAsia="ru-RU" w:bidi="ar-SA"/>
        </w:rPr>
        <w:t>7</w:t>
      </w:r>
      <w:r>
        <w:rPr>
          <w:rFonts w:eastAsia="Times New Roman" w:cs="Times New Roman"/>
          <w:color w:val="auto"/>
          <w:kern w:val="0"/>
          <w:sz w:val="28"/>
          <w:szCs w:val="28"/>
          <w:lang w:val="ru-RU" w:eastAsia="ru-RU" w:bidi="ar-SA"/>
        </w:rPr>
        <w:t xml:space="preserve">.21г.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4"/>
        <w:gridCol w:w="2107"/>
        <w:gridCol w:w="1861"/>
        <w:gridCol w:w="2056"/>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861"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056"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r>
              <w:rPr/>
              <w:t>1</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sz w:val="24"/>
                <w:szCs w:val="24"/>
                <w:u w:val="single"/>
                <w:effect w:val="none"/>
              </w:rPr>
              <w:t>Лямбда-цигалотрин</w:t>
            </w:r>
          </w:p>
          <w:p>
            <w:pPr>
              <w:pStyle w:val="Style15"/>
              <w:widowControl w:val="false"/>
              <w:spacing w:before="0" w:after="120"/>
              <w:rPr>
                <w:color w:val="000000"/>
              </w:rPr>
            </w:pPr>
            <w:r>
              <w:rPr>
                <w:color w:val="000000"/>
              </w:rPr>
              <w:t>50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861"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056"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2</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Пропиконазол</w:t>
            </w:r>
          </w:p>
          <w:p>
            <w:pPr>
              <w:pStyle w:val="Style15"/>
              <w:widowControl w:val="false"/>
              <w:rPr>
                <w:color w:val="000000"/>
              </w:rPr>
            </w:pPr>
            <w:r>
              <w:rPr>
                <w:color w:val="000000"/>
              </w:rPr>
              <w:t>200 г/л</w:t>
            </w:r>
          </w:p>
          <w:p>
            <w:pPr>
              <w:pStyle w:val="Style15"/>
              <w:widowControl w:val="false"/>
              <w:spacing w:before="60" w:after="75"/>
              <w:ind w:left="0" w:right="0" w:hanging="0"/>
              <w:rPr/>
            </w:pPr>
            <w:r>
              <w:rPr>
                <w:rStyle w:val="Style12"/>
                <w:b/>
                <w:strike w:val="false"/>
                <w:dstrike w:val="false"/>
                <w:color w:val="000000"/>
                <w:u w:val="none"/>
                <w:effect w:val="none"/>
              </w:rPr>
              <w:t>Тебуконазол</w:t>
            </w:r>
          </w:p>
          <w:p>
            <w:pPr>
              <w:pStyle w:val="Style15"/>
              <w:widowControl w:val="false"/>
              <w:spacing w:before="0" w:after="120"/>
              <w:rPr>
                <w:color w:val="000000"/>
              </w:rPr>
            </w:pPr>
            <w:r>
              <w:rPr>
                <w:color w:val="000000"/>
              </w:rPr>
              <w:t>200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61"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56"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rStyle w:val="Style12"/>
              </w:rPr>
            </w:pPr>
            <w:r>
              <w:rPr/>
              <w:t>3</w:t>
            </w:r>
          </w:p>
        </w:tc>
        <w:tc>
          <w:tcPr>
            <w:tcW w:w="2904" w:type="dxa"/>
            <w:tcBorders>
              <w:left w:val="single" w:sz="2" w:space="0" w:color="000000"/>
              <w:bottom w:val="single" w:sz="2" w:space="0" w:color="000000"/>
            </w:tcBorders>
          </w:tcPr>
          <w:p>
            <w:pPr>
              <w:pStyle w:val="Style15"/>
              <w:widowControl w:val="false"/>
              <w:rPr/>
            </w:pPr>
            <w:r>
              <w:rPr>
                <w:rStyle w:val="Style12"/>
                <w:b/>
                <w:strike w:val="false"/>
                <w:dstrike w:val="false"/>
                <w:color w:val="000000"/>
                <w:u w:val="none"/>
                <w:effect w:val="none"/>
              </w:rPr>
              <w:t>Клетодим</w:t>
            </w:r>
          </w:p>
          <w:p>
            <w:pPr>
              <w:pStyle w:val="Style15"/>
              <w:widowControl w:val="false"/>
              <w:spacing w:before="0" w:after="120"/>
              <w:rPr>
                <w:color w:val="000000"/>
              </w:rPr>
            </w:pPr>
            <w:r>
              <w:rPr>
                <w:color w:val="000000"/>
              </w:rPr>
              <w:t>240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61"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56"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pPr>
            <w:r>
              <w:rPr/>
              <w:t>4</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Имазамокс</w:t>
            </w:r>
          </w:p>
          <w:p>
            <w:pPr>
              <w:pStyle w:val="Style15"/>
              <w:rPr>
                <w:color w:val="000000"/>
              </w:rPr>
            </w:pPr>
            <w:r>
              <w:rPr>
                <w:color w:val="000000"/>
              </w:rPr>
              <w:t>40 г/л</w:t>
            </w:r>
          </w:p>
          <w:p>
            <w:pPr>
              <w:pStyle w:val="Style15"/>
              <w:pBdr/>
              <w:spacing w:before="60" w:after="75"/>
              <w:ind w:left="0" w:right="0" w:hanging="0"/>
              <w:rPr/>
            </w:pPr>
            <w:r>
              <w:rPr>
                <w:rStyle w:val="Style12"/>
                <w:b/>
                <w:strike w:val="false"/>
                <w:dstrike w:val="false"/>
                <w:color w:val="000000"/>
                <w:u w:val="none"/>
                <w:effect w:val="none"/>
              </w:rPr>
              <w:t>Клопиралид</w:t>
            </w:r>
          </w:p>
          <w:p>
            <w:pPr>
              <w:pStyle w:val="Style15"/>
              <w:spacing w:before="0" w:after="120"/>
              <w:rPr>
                <w:color w:val="000000"/>
              </w:rPr>
            </w:pPr>
            <w:r>
              <w:rPr>
                <w:color w:val="000000"/>
              </w:rPr>
              <w:t xml:space="preserve">90 г/л </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61"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56"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pPr>
            <w:r>
              <w:rPr/>
              <w:t>5</w:t>
            </w:r>
          </w:p>
        </w:tc>
        <w:tc>
          <w:tcPr>
            <w:tcW w:w="2904" w:type="dxa"/>
            <w:tcBorders>
              <w:left w:val="single" w:sz="2" w:space="0" w:color="000000"/>
              <w:bottom w:val="single" w:sz="2" w:space="0" w:color="000000"/>
            </w:tcBorders>
          </w:tcPr>
          <w:p>
            <w:pPr>
              <w:pStyle w:val="Style15"/>
              <w:widowControl w:val="false"/>
              <w:spacing w:before="0" w:after="120"/>
              <w:rPr/>
            </w:pPr>
            <w:r>
              <w:rPr>
                <w:rStyle w:val="Style12"/>
                <w:b/>
                <w:i w:val="false"/>
                <w:caps w:val="false"/>
                <w:smallCaps w:val="false"/>
                <w:strike w:val="false"/>
                <w:dstrike w:val="false"/>
                <w:color w:val="000000"/>
                <w:spacing w:val="0"/>
                <w:sz w:val="26"/>
                <w:szCs w:val="26"/>
                <w:u w:val="none"/>
                <w:effect w:val="none"/>
              </w:rPr>
              <w:t>Дифлубензурон</w:t>
            </w:r>
          </w:p>
          <w:p>
            <w:pPr>
              <w:pStyle w:val="Style15"/>
              <w:rPr>
                <w:color w:val="000000"/>
              </w:rPr>
            </w:pPr>
            <w:r>
              <w:rPr>
                <w:color w:val="000000"/>
              </w:rPr>
              <w:t>125 г/л</w:t>
            </w:r>
          </w:p>
          <w:p>
            <w:pPr>
              <w:pStyle w:val="Style15"/>
              <w:pBdr/>
              <w:spacing w:before="60" w:after="75"/>
              <w:ind w:left="0" w:right="0" w:hanging="0"/>
              <w:rPr/>
            </w:pPr>
            <w:r>
              <w:rPr>
                <w:rStyle w:val="Style12"/>
                <w:b/>
                <w:strike w:val="false"/>
                <w:dstrike w:val="false"/>
                <w:color w:val="000000"/>
                <w:u w:val="none"/>
                <w:effect w:val="none"/>
              </w:rPr>
              <w:t>Имидаклоприд</w:t>
            </w:r>
          </w:p>
          <w:p>
            <w:pPr>
              <w:pStyle w:val="Style15"/>
              <w:spacing w:before="0" w:after="120"/>
              <w:rPr>
                <w:color w:val="000000"/>
              </w:rPr>
            </w:pPr>
            <w:r>
              <w:rPr>
                <w:color w:val="000000"/>
              </w:rPr>
              <w:t xml:space="preserve">110 г/л </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861"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056"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1085</TotalTime>
  <Application>LibreOffice/7.0.4.2$Windows_X86_64 LibreOffice_project/dcf040e67528d9187c66b2379df5ea4407429775</Application>
  <AppVersion>15.0000</AppVersion>
  <Pages>4</Pages>
  <Words>861</Words>
  <Characters>7911</Characters>
  <CharactersWithSpaces>8824</CharactersWithSpaces>
  <Paragraphs>67</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2021-06-28T08:34:10Z</cp:lastPrinted>
  <dcterms:modified xsi:type="dcterms:W3CDTF">2021-06-28T13:52:20Z</dcterms:modified>
  <cp:revision>61</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